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1F4E79"/>
          <w:sz w:val="40"/>
        </w:rPr>
        <w:t>Desarrollo personal integral en educación superior</w:t>
      </w:r>
    </w:p>
    <w:p>
      <w:r>
        <w:rPr>
          <w:i/>
          <w:color w:val="595959"/>
          <w:sz w:val="22"/>
        </w:rPr>
        <w:t>Síntesis de evidencia con aprobación humana · v1.1 · 6 de octubre de 2026</w:t>
      </w:r>
    </w:p>
    <w:p>
      <w:r>
        <w:rPr>
          <w:b/>
        </w:rPr>
        <w:t>Estado:</w:t>
      </w:r>
      <w:r>
        <w:t xml:space="preserve"> síntesis </w:t>
      </w:r>
      <w:r>
        <w:rPr>
          <w:b/>
        </w:rPr>
        <w:t>v1.1 aprobada</w:t>
      </w:r>
      <w:r>
        <w:t xml:space="preserve"> por revisor_1 (titular del proyecto) y revisor_2 (Rodrigo) el 2026-10-06 (v1 aprobada el 2026-10-05). Instrucciones v2; criterios v2 (rúbrica C1–C4).</w:t>
      </w:r>
    </w:p>
    <w:p>
      <w:r>
        <w:rPr>
          <w:b/>
        </w:rPr>
        <w:t>Cambios respecto de v1:</w:t>
      </w:r>
      <w:r>
        <w:t xml:space="preserve"> en la sección 7, la afirmación sobre F09 pasa de «aumenta con el tiempo» a «cambia de forma significativa con el tiempo», porque el pasaje [F09, p. 2] informa un efecto del tiempo sin indicar su dirección.</w:t>
      </w:r>
    </w:p>
    <w:p>
      <w:r>
        <w:rPr>
          <w:b/>
        </w:rPr>
        <w:t>Cómo leer las citas:</w:t>
      </w:r>
      <w:r>
        <w:t xml:space="preserve"> [Fxx, p. n] remite a la página del archivo PDF de la fuente, no a la paginación impresa. Cada afirmación procede de una fila aprobada de la tabla de extracción (etapa4_extraccion.xlsx), donde está el pasaje literal.</w:t>
      </w:r>
    </w:p>
    <w:p>
      <w:pPr>
        <w:pStyle w:val="Heading2"/>
      </w:pPr>
      <w:r>
        <w:t>Pregunta</w:t>
      </w:r>
    </w:p>
    <w:p>
      <w:r>
        <w:t>¿Cómo ha sido abordada la competencia «Desarrollo personal integral» o sus constructos afines en la literatura científica sobre educación superior?</w:t>
      </w:r>
    </w:p>
    <w:p>
      <w:pPr>
        <w:pStyle w:val="Heading2"/>
      </w:pPr>
      <w:r>
        <w:t>1. Denominaciones: ninguna fuente usa «desarrollo personal integral»</w:t>
      </w:r>
    </w:p>
    <w:p>
      <w:r>
        <w:t>La denominación «Desarrollo personal integral» solo aparece en el documento institucional [F05, p. 45]. La literatura revisada aborda el fenómeno con al menos cinco etiquetas distintas:</w:t>
      </w:r>
    </w:p>
    <w:tbl>
      <w:tblPr>
        <w:tblStyle w:val="TableGrid"/>
        <w:tblW w:type="auto" w:w="0"/>
        <w:tblLook w:firstColumn="1" w:firstRow="1" w:lastColumn="0" w:lastRow="0" w:noHBand="0" w:noVBand="1" w:val="04A0"/>
      </w:tblPr>
      <w:tblGrid>
        <w:gridCol w:w="4649"/>
        <w:gridCol w:w="4649"/>
      </w:tblGrid>
      <w:tr>
        <w:tc>
          <w:tcPr>
            <w:tcW w:type="dxa" w:w="6656"/>
            <w:shd w:val="clear" w:color="auto" w:fill="1F4E79"/>
          </w:tcPr>
          <w:p>
            <w:pPr>
              <w:spacing w:after="40"/>
            </w:pPr>
            <w:r>
              <w:rPr>
                <w:b/>
                <w:color w:val="FFFFFF"/>
                <w:sz w:val="19"/>
              </w:rPr>
              <w:t>Denominación</w:t>
            </w:r>
          </w:p>
        </w:tc>
        <w:tc>
          <w:tcPr>
            <w:tcW w:type="dxa" w:w="2641"/>
            <w:shd w:val="clear" w:color="auto" w:fill="1F4E79"/>
          </w:tcPr>
          <w:p>
            <w:pPr>
              <w:spacing w:after="40"/>
            </w:pPr>
            <w:r>
              <w:rPr>
                <w:b/>
                <w:color w:val="FFFFFF"/>
                <w:sz w:val="19"/>
              </w:rPr>
              <w:t>Fuentes</w:t>
            </w:r>
          </w:p>
        </w:tc>
      </w:tr>
      <w:tr>
        <w:tc>
          <w:tcPr>
            <w:tcW w:type="dxa" w:w="6656"/>
          </w:tcPr>
          <w:p>
            <w:pPr>
              <w:spacing w:after="40"/>
            </w:pPr>
            <w:r>
              <w:rPr>
                <w:i/>
                <w:sz w:val="19"/>
              </w:rPr>
              <w:t>Whole person education</w:t>
            </w:r>
            <w:r>
              <w:rPr>
                <w:sz w:val="19"/>
              </w:rPr>
              <w:t xml:space="preserve"> / desarrollo de 360°</w:t>
            </w:r>
          </w:p>
        </w:tc>
        <w:tc>
          <w:tcPr>
            <w:tcW w:type="dxa" w:w="2641"/>
          </w:tcPr>
          <w:p>
            <w:pPr>
              <w:spacing w:after="40"/>
            </w:pPr>
            <w:r>
              <w:rPr>
                <w:sz w:val="19"/>
              </w:rPr>
              <w:t>[F01, p. 1]; [F10, p. 18]</w:t>
            </w:r>
          </w:p>
        </w:tc>
      </w:tr>
      <w:tr>
        <w:tc>
          <w:tcPr>
            <w:tcW w:type="dxa" w:w="6656"/>
          </w:tcPr>
          <w:p>
            <w:pPr>
              <w:spacing w:after="40"/>
            </w:pPr>
            <w:r>
              <w:rPr>
                <w:sz w:val="19"/>
              </w:rPr>
              <w:t>Aprendizaje y competencia socioemocional (SEL/SEC)</w:t>
            </w:r>
          </w:p>
        </w:tc>
        <w:tc>
          <w:tcPr>
            <w:tcW w:type="dxa" w:w="2641"/>
          </w:tcPr>
          <w:p>
            <w:pPr>
              <w:spacing w:after="40"/>
            </w:pPr>
            <w:r>
              <w:rPr>
                <w:sz w:val="19"/>
              </w:rPr>
              <w:t>[F04, p. 1]; [F08, p. 1]</w:t>
            </w:r>
          </w:p>
        </w:tc>
      </w:tr>
      <w:tr>
        <w:tc>
          <w:tcPr>
            <w:tcW w:type="dxa" w:w="6656"/>
          </w:tcPr>
          <w:p>
            <w:pPr>
              <w:spacing w:after="40"/>
            </w:pPr>
            <w:r>
              <w:rPr>
                <w:sz w:val="19"/>
              </w:rPr>
              <w:t>Competencias emocionales (e inteligencia emocional)</w:t>
            </w:r>
          </w:p>
        </w:tc>
        <w:tc>
          <w:tcPr>
            <w:tcW w:type="dxa" w:w="2641"/>
          </w:tcPr>
          <w:p>
            <w:pPr>
              <w:spacing w:after="40"/>
            </w:pPr>
            <w:r>
              <w:rPr>
                <w:sz w:val="19"/>
              </w:rPr>
              <w:t>[F06, p. 9]</w:t>
            </w:r>
          </w:p>
        </w:tc>
      </w:tr>
      <w:tr>
        <w:tc>
          <w:tcPr>
            <w:tcW w:type="dxa" w:w="6656"/>
          </w:tcPr>
          <w:p>
            <w:pPr>
              <w:spacing w:after="40"/>
            </w:pPr>
            <w:r>
              <w:rPr>
                <w:i/>
                <w:sz w:val="19"/>
              </w:rPr>
              <w:t>Personal Development Planning</w:t>
            </w:r>
            <w:r>
              <w:rPr>
                <w:sz w:val="19"/>
              </w:rPr>
              <w:t xml:space="preserve"> (PDP)</w:t>
            </w:r>
          </w:p>
        </w:tc>
        <w:tc>
          <w:tcPr>
            <w:tcW w:type="dxa" w:w="2641"/>
          </w:tcPr>
          <w:p>
            <w:pPr>
              <w:spacing w:after="40"/>
            </w:pPr>
            <w:r>
              <w:rPr>
                <w:sz w:val="19"/>
              </w:rPr>
              <w:t>[F07, p. 8]</w:t>
            </w:r>
          </w:p>
        </w:tc>
      </w:tr>
      <w:tr>
        <w:tc>
          <w:tcPr>
            <w:tcW w:type="dxa" w:w="6656"/>
          </w:tcPr>
          <w:p>
            <w:pPr>
              <w:spacing w:after="40"/>
            </w:pPr>
            <w:r>
              <w:rPr>
                <w:sz w:val="19"/>
              </w:rPr>
              <w:t>Bienestar espiritual en educación holística</w:t>
            </w:r>
          </w:p>
        </w:tc>
        <w:tc>
          <w:tcPr>
            <w:tcW w:type="dxa" w:w="2641"/>
          </w:tcPr>
          <w:p>
            <w:pPr>
              <w:spacing w:after="40"/>
            </w:pPr>
            <w:r>
              <w:rPr>
                <w:sz w:val="19"/>
              </w:rPr>
              <w:t>[F09, p. 2]</w:t>
            </w:r>
          </w:p>
        </w:tc>
      </w:tr>
      <w:tr>
        <w:tc>
          <w:tcPr>
            <w:tcW w:type="dxa" w:w="6656"/>
          </w:tcPr>
          <w:p>
            <w:pPr>
              <w:spacing w:after="40"/>
            </w:pPr>
            <w:r>
              <w:rPr>
                <w:sz w:val="19"/>
              </w:rPr>
              <w:t>«Development in areas outside the core curriculum» (afín débil)</w:t>
            </w:r>
          </w:p>
        </w:tc>
        <w:tc>
          <w:tcPr>
            <w:tcW w:type="dxa" w:w="2641"/>
          </w:tcPr>
          <w:p>
            <w:pPr>
              <w:spacing w:after="40"/>
            </w:pPr>
            <w:r>
              <w:rPr>
                <w:sz w:val="19"/>
              </w:rPr>
              <w:t>[F02, p. 1]</w:t>
            </w:r>
          </w:p>
        </w:tc>
      </w:tr>
    </w:tbl>
    <w:p>
      <w:pPr>
        <w:spacing w:after="40"/>
      </w:pPr>
    </w:p>
    <w:p>
      <w:r>
        <w:t>La dispersión terminológica es el primer hallazgo: buscar solo «desarrollo personal integral» o su traducción literal dejaría fuera toda esta literatura.</w:t>
      </w:r>
    </w:p>
    <w:p>
      <w:pPr>
        <w:pStyle w:val="Heading2"/>
      </w:pPr>
      <w:r>
        <w:t>2. Definiciones y marcos conceptuales</w:t>
      </w:r>
    </w:p>
    <w:p>
      <w:r>
        <w:t>Se distinguen cuatro tipos de marco:</w:t>
      </w:r>
    </w:p>
    <w:p>
      <w:pPr>
        <w:pStyle w:val="ListBullet"/>
      </w:pPr>
      <w:r>
        <w:rPr>
          <w:b/>
        </w:rPr>
        <w:t>Filosófico-antropológico.</w:t>
      </w:r>
      <w:r>
        <w:t xml:space="preserve"> La educación integral se entiende como prioridad de la persona completa y relación coherente entre las partes y el todo [F10, p. 18]. Es el tipo de marco más cercano al de la UTPL, que parte de una antropología integral de raíz humanista cristiana [F05, pp. 8, 14].</w:t>
      </w:r>
    </w:p>
    <w:p>
      <w:pPr>
        <w:pStyle w:val="ListBullet"/>
      </w:pPr>
      <w:r>
        <w:rPr>
          <w:b/>
        </w:rPr>
        <w:t>Psicológico, por competencias.</w:t>
      </w:r>
      <w:r>
        <w:t xml:space="preserve"> Modelo CASEL de cinco competencias [F04, p. 17]; modelo pentagonal de Bisquerra y modelo de Saarni [F06, p. 6]; teoría de la autodeterminación [F08, p. 5]; modelo SHALOM de bienestar espiritual de Fisher [F09, p. 5].</w:t>
      </w:r>
    </w:p>
    <w:p>
      <w:pPr>
        <w:pStyle w:val="ListBullet"/>
      </w:pPr>
      <w:r>
        <w:rPr>
          <w:b/>
        </w:rPr>
        <w:t>Curricular y de acreditación.</w:t>
      </w:r>
      <w:r>
        <w:t xml:space="preserve"> Atributos del graduado de la acreditación de ingeniería en India [F01, p. 1].</w:t>
      </w:r>
    </w:p>
    <w:p>
      <w:pPr>
        <w:pStyle w:val="ListBullet"/>
      </w:pPr>
      <w:r>
        <w:rPr>
          <w:b/>
        </w:rPr>
        <w:t>De política institucional.</w:t>
      </w:r>
      <w:r>
        <w:t xml:space="preserve"> La PDP se define, siguiendo a la agencia de calidad británica, como un proceso estructurado y acompañado que realiza el propio estudiante para planificar su desarrollo individual, educativo y profesional [F07, p. 2; traducción del asistente].</w:t>
      </w:r>
    </w:p>
    <w:p>
      <w:r>
        <w:rPr>
          <w:b/>
        </w:rPr>
        <w:t>Evidencia ausente:</w:t>
      </w:r>
      <w:r>
        <w:t xml:space="preserve"> F02 no define su constructo [F02, p. 1], y F06 no formula una definición propia, sino que adopta modelos de otros autores [F06, p. 6].</w:t>
      </w:r>
    </w:p>
    <w:p>
      <w:pPr>
        <w:pStyle w:val="Heading2"/>
      </w:pPr>
      <w:r>
        <w:t>3. Dimensiones o componentes</w:t>
      </w:r>
    </w:p>
    <w:p>
      <w:pPr>
        <w:pStyle w:val="ListBullet"/>
      </w:pPr>
      <w:r>
        <w:rPr>
          <w:b/>
        </w:rPr>
        <w:t>Socioemocionales:</w:t>
      </w:r>
      <w:r>
        <w:t xml:space="preserve"> autoconciencia, autogestión, conciencia social, habilidades de relación y toma de decisiones responsable [F04, p. 2]; conciencia, regulación y autonomía emocional, competencia social y competencias para la vida y el bienestar [F06, p. 6]; autoconciencia, autorregulación y conexiones sociales [F08, p. 1].</w:t>
      </w:r>
    </w:p>
    <w:p>
      <w:pPr>
        <w:pStyle w:val="ListBullet"/>
      </w:pPr>
      <w:r>
        <w:rPr>
          <w:b/>
        </w:rPr>
        <w:t>Espirituales y relacionales:</w:t>
      </w:r>
      <w:r>
        <w:t xml:space="preserve"> relaciones con uno mismo, con los demás, con la naturaleza y con lo trascendente [F09, p. 5].</w:t>
      </w:r>
    </w:p>
    <w:p>
      <w:pPr>
        <w:pStyle w:val="ListBullet"/>
      </w:pPr>
      <w:r>
        <w:rPr>
          <w:b/>
        </w:rPr>
        <w:t>Desarrollo amplio:</w:t>
      </w:r>
      <w:r>
        <w:t xml:space="preserve"> espiritual, intelectual, humano, social y físico (ejemplo institucional citado) [F10, p. 18]; 14 indicadores que van desde la investigación hasta el deporte y el carácter [F01, p. 1].</w:t>
      </w:r>
    </w:p>
    <w:p>
      <w:pPr>
        <w:pStyle w:val="ListBullet"/>
      </w:pPr>
      <w:r>
        <w:rPr>
          <w:b/>
        </w:rPr>
        <w:t>Orientaciones del plan de desarrollo:</w:t>
      </w:r>
      <w:r>
        <w:t xml:space="preserve"> profesional, de empleabilidad y académica [F07, p. 8].</w:t>
      </w:r>
    </w:p>
    <w:p>
      <w:pPr>
        <w:pStyle w:val="Heading3"/>
      </w:pPr>
      <w:r>
        <w:t>Contraste con el marco UTPL (correspondencia propuesta por el asistente; validada por la titular el 2026-10-05)</w:t>
      </w:r>
    </w:p>
    <w:p>
      <w:r>
        <w:t xml:space="preserve">F05 organiza a la persona en </w:t>
      </w:r>
      <w:r>
        <w:rPr>
          <w:b/>
        </w:rPr>
        <w:t>3 niveles</w:t>
      </w:r>
      <w:r>
        <w:t xml:space="preserve"> (físico, psicológico, espiritual) y </w:t>
      </w:r>
      <w:r>
        <w:rPr>
          <w:b/>
        </w:rPr>
        <w:t>4 ámbitos</w:t>
      </w:r>
      <w:r>
        <w:t xml:space="preserve"> (personal, social, sacral, cósmico) [F05, p. 14].</w:t>
      </w:r>
    </w:p>
    <w:tbl>
      <w:tblPr>
        <w:tblStyle w:val="TableGrid"/>
        <w:tblW w:type="auto" w:w="0"/>
        <w:tblLook w:firstColumn="1" w:firstRow="1" w:lastColumn="0" w:lastRow="0" w:noHBand="0" w:noVBand="1" w:val="04A0"/>
      </w:tblPr>
      <w:tblGrid>
        <w:gridCol w:w="4649"/>
        <w:gridCol w:w="4649"/>
      </w:tblGrid>
      <w:tr>
        <w:tc>
          <w:tcPr>
            <w:tcW w:type="dxa" w:w="1597"/>
            <w:shd w:val="clear" w:color="auto" w:fill="1F4E79"/>
          </w:tcPr>
          <w:p>
            <w:pPr>
              <w:spacing w:after="40"/>
            </w:pPr>
            <w:r>
              <w:rPr>
                <w:b/>
                <w:color w:val="FFFFFF"/>
                <w:sz w:val="19"/>
              </w:rPr>
              <w:t>Elemento F05</w:t>
            </w:r>
          </w:p>
        </w:tc>
        <w:tc>
          <w:tcPr>
            <w:tcW w:type="dxa" w:w="7701"/>
            <w:shd w:val="clear" w:color="auto" w:fill="1F4E79"/>
          </w:tcPr>
          <w:p>
            <w:pPr>
              <w:spacing w:after="40"/>
            </w:pPr>
            <w:r>
              <w:rPr>
                <w:b/>
                <w:color w:val="FFFFFF"/>
                <w:sz w:val="19"/>
              </w:rPr>
              <w:t>Fuentes que lo abordan</w:t>
            </w:r>
          </w:p>
        </w:tc>
      </w:tr>
      <w:tr>
        <w:tc>
          <w:tcPr>
            <w:tcW w:type="dxa" w:w="1597"/>
          </w:tcPr>
          <w:p>
            <w:pPr>
              <w:spacing w:after="40"/>
            </w:pPr>
            <w:r>
              <w:rPr>
                <w:sz w:val="19"/>
              </w:rPr>
              <w:t>Nivel psicológico</w:t>
            </w:r>
          </w:p>
        </w:tc>
        <w:tc>
          <w:tcPr>
            <w:tcW w:type="dxa" w:w="7701"/>
          </w:tcPr>
          <w:p>
            <w:pPr>
              <w:spacing w:after="40"/>
            </w:pPr>
            <w:r>
              <w:rPr>
                <w:sz w:val="19"/>
              </w:rPr>
              <w:t>F04, F06, F08 (dimensiones socioemocionales)</w:t>
            </w:r>
          </w:p>
        </w:tc>
      </w:tr>
      <w:tr>
        <w:tc>
          <w:tcPr>
            <w:tcW w:type="dxa" w:w="1597"/>
          </w:tcPr>
          <w:p>
            <w:pPr>
              <w:spacing w:after="40"/>
            </w:pPr>
            <w:r>
              <w:rPr>
                <w:sz w:val="19"/>
              </w:rPr>
              <w:t>Nivel espiritual</w:t>
            </w:r>
          </w:p>
        </w:tc>
        <w:tc>
          <w:tcPr>
            <w:tcW w:type="dxa" w:w="7701"/>
          </w:tcPr>
          <w:p>
            <w:pPr>
              <w:spacing w:after="40"/>
            </w:pPr>
            <w:r>
              <w:rPr>
                <w:sz w:val="19"/>
              </w:rPr>
              <w:t>F09; F10 (como parte del desarrollo integral)</w:t>
            </w:r>
          </w:p>
        </w:tc>
      </w:tr>
      <w:tr>
        <w:tc>
          <w:tcPr>
            <w:tcW w:type="dxa" w:w="1597"/>
          </w:tcPr>
          <w:p>
            <w:pPr>
              <w:spacing w:after="40"/>
            </w:pPr>
            <w:r>
              <w:rPr>
                <w:sz w:val="19"/>
              </w:rPr>
              <w:t>Nivel físico</w:t>
            </w:r>
          </w:p>
        </w:tc>
        <w:tc>
          <w:tcPr>
            <w:tcW w:type="dxa" w:w="7701"/>
          </w:tcPr>
          <w:p>
            <w:pPr>
              <w:spacing w:after="40"/>
            </w:pPr>
            <w:r>
              <w:rPr>
                <w:sz w:val="19"/>
              </w:rPr>
              <w:t>F10 (ejemplo institucional); F01 (deporte como indicador)</w:t>
            </w:r>
          </w:p>
        </w:tc>
      </w:tr>
      <w:tr>
        <w:tc>
          <w:tcPr>
            <w:tcW w:type="dxa" w:w="1597"/>
          </w:tcPr>
          <w:p>
            <w:pPr>
              <w:spacing w:after="40"/>
            </w:pPr>
            <w:r>
              <w:rPr>
                <w:sz w:val="19"/>
              </w:rPr>
              <w:t>Ámbito personal</w:t>
            </w:r>
          </w:p>
        </w:tc>
        <w:tc>
          <w:tcPr>
            <w:tcW w:type="dxa" w:w="7701"/>
          </w:tcPr>
          <w:p>
            <w:pPr>
              <w:spacing w:after="40"/>
            </w:pPr>
            <w:r>
              <w:rPr>
                <w:sz w:val="19"/>
              </w:rPr>
              <w:t>F04, F08 (autoconciencia); F09 (dominio personal)</w:t>
            </w:r>
          </w:p>
        </w:tc>
      </w:tr>
      <w:tr>
        <w:tc>
          <w:tcPr>
            <w:tcW w:type="dxa" w:w="1597"/>
          </w:tcPr>
          <w:p>
            <w:pPr>
              <w:spacing w:after="40"/>
            </w:pPr>
            <w:r>
              <w:rPr>
                <w:sz w:val="19"/>
              </w:rPr>
              <w:t>Ámbito social</w:t>
            </w:r>
          </w:p>
        </w:tc>
        <w:tc>
          <w:tcPr>
            <w:tcW w:type="dxa" w:w="7701"/>
          </w:tcPr>
          <w:p>
            <w:pPr>
              <w:spacing w:after="40"/>
            </w:pPr>
            <w:r>
              <w:rPr>
                <w:sz w:val="19"/>
              </w:rPr>
              <w:t>F04 (conciencia social); F06 (competencia social); F09 (dominio comunal)</w:t>
            </w:r>
          </w:p>
        </w:tc>
      </w:tr>
      <w:tr>
        <w:tc>
          <w:tcPr>
            <w:tcW w:type="dxa" w:w="1597"/>
          </w:tcPr>
          <w:p>
            <w:pPr>
              <w:spacing w:after="40"/>
            </w:pPr>
            <w:r>
              <w:rPr>
                <w:sz w:val="19"/>
              </w:rPr>
              <w:t>Ámbito cósmico</w:t>
            </w:r>
          </w:p>
        </w:tc>
        <w:tc>
          <w:tcPr>
            <w:tcW w:type="dxa" w:w="7701"/>
          </w:tcPr>
          <w:p>
            <w:pPr>
              <w:spacing w:after="40"/>
            </w:pPr>
            <w:r>
              <w:rPr>
                <w:sz w:val="19"/>
              </w:rPr>
              <w:t>F09 (dominio ambiental); F02 (conciencia de sostenibilidad, constructo afín débil)</w:t>
            </w:r>
          </w:p>
        </w:tc>
      </w:tr>
      <w:tr>
        <w:tc>
          <w:tcPr>
            <w:tcW w:type="dxa" w:w="1597"/>
          </w:tcPr>
          <w:p>
            <w:pPr>
              <w:spacing w:after="40"/>
            </w:pPr>
            <w:r>
              <w:rPr>
                <w:sz w:val="19"/>
              </w:rPr>
              <w:t>Ámbito sacral</w:t>
            </w:r>
          </w:p>
        </w:tc>
        <w:tc>
          <w:tcPr>
            <w:tcW w:type="dxa" w:w="7701"/>
          </w:tcPr>
          <w:p>
            <w:pPr>
              <w:spacing w:after="40"/>
            </w:pPr>
            <w:r>
              <w:rPr>
                <w:sz w:val="19"/>
              </w:rPr>
              <w:t>F09 (dominio trascendental)</w:t>
            </w:r>
          </w:p>
        </w:tc>
      </w:tr>
    </w:tbl>
    <w:p>
      <w:pPr>
        <w:spacing w:after="40"/>
      </w:pPr>
    </w:p>
    <w:p>
      <w:r>
        <w:t xml:space="preserve">Solo </w:t>
      </w:r>
      <w:r>
        <w:rPr>
          <w:b/>
        </w:rPr>
        <w:t>F09</w:t>
      </w:r>
      <w:r>
        <w:t xml:space="preserve"> cubre los cuatro ámbitos. El resto de la literatura se concentra en el nivel psicológico y en los ámbitos personal y social; los ámbitos sacral y cósmico son los menos abordados.</w:t>
      </w:r>
    </w:p>
    <w:p>
      <w:pPr>
        <w:pStyle w:val="Heading2"/>
      </w:pPr>
      <w:r>
        <w:t>4. Enfoques de abordaje</w:t>
      </w:r>
    </w:p>
    <w:p>
      <w:pPr>
        <w:pStyle w:val="ListBullet"/>
      </w:pPr>
      <w:r>
        <w:rPr>
          <w:b/>
        </w:rPr>
        <w:t>Experiencial:</w:t>
      </w:r>
      <w:r>
        <w:t xml:space="preserve"> aprendizaje-servicio en un curso disciplinar [F02, p. 1]; aprendizaje experiencial como vía de la educación holística [F09, p. 2]; atributos actitudinales que no se logran solo en el aula [F01, p. 3].</w:t>
      </w:r>
    </w:p>
    <w:p>
      <w:pPr>
        <w:pStyle w:val="ListBullet"/>
      </w:pPr>
      <w:r>
        <w:rPr>
          <w:b/>
        </w:rPr>
        <w:t>Curricular y co-curricular:</w:t>
      </w:r>
      <w:r>
        <w:t xml:space="preserve"> integrar el SEL en ambos espacios [F08, p. 1]; educación general amplia junto con programas co-curriculares [F10, p. 18].</w:t>
      </w:r>
    </w:p>
    <w:p>
      <w:pPr>
        <w:pStyle w:val="ListBullet"/>
      </w:pPr>
      <w:r>
        <w:rPr>
          <w:b/>
        </w:rPr>
        <w:t>Autodirigido y acompañado:</w:t>
      </w:r>
      <w:r>
        <w:t xml:space="preserve"> la PDP orientada a preparar para la vida y la profesión [F07, p. 8].</w:t>
      </w:r>
    </w:p>
    <w:p>
      <w:pPr>
        <w:pStyle w:val="ListBullet"/>
      </w:pPr>
      <w:r>
        <w:rPr>
          <w:b/>
        </w:rPr>
        <w:t>Intencional y sistemático:</w:t>
      </w:r>
      <w:r>
        <w:t xml:space="preserve"> desarrollo gradual de competencias emocionales como complemento de la formación [F06, p. 1].</w:t>
      </w:r>
    </w:p>
    <w:p>
      <w:pPr>
        <w:pStyle w:val="ListBullet"/>
      </w:pPr>
      <w:r>
        <w:rPr>
          <w:b/>
        </w:rPr>
        <w:t>Papel del docente:</w:t>
      </w:r>
      <w:r>
        <w:t xml:space="preserve"> actor central en la implementación del SEL [F04, p. 21]; preparación docente como factor de implementación [F08, p. 1].</w:t>
      </w:r>
    </w:p>
    <w:p>
      <w:pPr>
        <w:pStyle w:val="Heading2"/>
      </w:pPr>
      <w:r>
        <w:t>5. Diseños metodológicos</w:t>
      </w:r>
    </w:p>
    <w:tbl>
      <w:tblPr>
        <w:tblStyle w:val="TableGrid"/>
        <w:tblW w:type="auto" w:w="0"/>
        <w:tblLook w:firstColumn="1" w:firstRow="1" w:lastColumn="0" w:lastRow="0" w:noHBand="0" w:noVBand="1" w:val="04A0"/>
      </w:tblPr>
      <w:tblGrid>
        <w:gridCol w:w="4649"/>
        <w:gridCol w:w="4649"/>
      </w:tblGrid>
      <w:tr>
        <w:tc>
          <w:tcPr>
            <w:tcW w:type="dxa" w:w="2254"/>
            <w:shd w:val="clear" w:color="auto" w:fill="1F4E79"/>
          </w:tcPr>
          <w:p>
            <w:pPr>
              <w:spacing w:after="40"/>
            </w:pPr>
            <w:r>
              <w:rPr>
                <w:b/>
                <w:color w:val="FFFFFF"/>
                <w:sz w:val="19"/>
              </w:rPr>
              <w:t>Tipo</w:t>
            </w:r>
          </w:p>
        </w:tc>
        <w:tc>
          <w:tcPr>
            <w:tcW w:type="dxa" w:w="7044"/>
            <w:shd w:val="clear" w:color="auto" w:fill="1F4E79"/>
          </w:tcPr>
          <w:p>
            <w:pPr>
              <w:spacing w:after="40"/>
            </w:pPr>
            <w:r>
              <w:rPr>
                <w:b/>
                <w:color w:val="FFFFFF"/>
                <w:sz w:val="19"/>
              </w:rPr>
              <w:t>Fuentes</w:t>
            </w:r>
          </w:p>
        </w:tc>
      </w:tr>
      <w:tr>
        <w:tc>
          <w:tcPr>
            <w:tcW w:type="dxa" w:w="2254"/>
          </w:tcPr>
          <w:p>
            <w:pPr>
              <w:spacing w:after="40"/>
            </w:pPr>
            <w:r>
              <w:rPr>
                <w:sz w:val="19"/>
              </w:rPr>
              <w:t>Revisiones sistemáticas</w:t>
            </w:r>
          </w:p>
        </w:tc>
        <w:tc>
          <w:tcPr>
            <w:tcW w:type="dxa" w:w="7044"/>
          </w:tcPr>
          <w:p>
            <w:pPr>
              <w:spacing w:after="40"/>
            </w:pPr>
            <w:r>
              <w:rPr>
                <w:sz w:val="19"/>
              </w:rPr>
              <w:t>F04 (46 estudios, 2000–2025) [F04, p. 1]; F06 (26 artículos, 2013–2022) [F06, p. 1]; F08 (26 estudios, 2012–2024) [F08, p. 8]</w:t>
            </w:r>
          </w:p>
        </w:tc>
      </w:tr>
      <w:tr>
        <w:tc>
          <w:tcPr>
            <w:tcW w:type="dxa" w:w="2254"/>
          </w:tcPr>
          <w:p>
            <w:pPr>
              <w:spacing w:after="40"/>
            </w:pPr>
            <w:r>
              <w:rPr>
                <w:sz w:val="19"/>
              </w:rPr>
              <w:t>Cuasi-experimental</w:t>
            </w:r>
          </w:p>
        </w:tc>
        <w:tc>
          <w:tcPr>
            <w:tcW w:type="dxa" w:w="7044"/>
          </w:tcPr>
          <w:p>
            <w:pPr>
              <w:spacing w:after="40"/>
            </w:pPr>
            <w:r>
              <w:rPr>
                <w:sz w:val="19"/>
              </w:rPr>
              <w:t>F02 (tratamiento 72, control 31) [F02, p. 8]</w:t>
            </w:r>
          </w:p>
        </w:tc>
      </w:tr>
      <w:tr>
        <w:tc>
          <w:tcPr>
            <w:tcW w:type="dxa" w:w="2254"/>
          </w:tcPr>
          <w:p>
            <w:pPr>
              <w:spacing w:after="40"/>
            </w:pPr>
            <w:r>
              <w:rPr>
                <w:sz w:val="19"/>
              </w:rPr>
              <w:t>Longitudinal mixto</w:t>
            </w:r>
          </w:p>
        </w:tc>
        <w:tc>
          <w:tcPr>
            <w:tcW w:type="dxa" w:w="7044"/>
          </w:tcPr>
          <w:p>
            <w:pPr>
              <w:spacing w:after="40"/>
            </w:pPr>
            <w:r>
              <w:rPr>
                <w:sz w:val="19"/>
              </w:rPr>
              <w:t>F09 (cuatro años) [F09, p. 9]</w:t>
            </w:r>
          </w:p>
        </w:tc>
      </w:tr>
      <w:tr>
        <w:tc>
          <w:tcPr>
            <w:tcW w:type="dxa" w:w="2254"/>
          </w:tcPr>
          <w:p>
            <w:pPr>
              <w:spacing w:after="40"/>
            </w:pPr>
            <w:r>
              <w:rPr>
                <w:sz w:val="19"/>
              </w:rPr>
              <w:t>Análisis comparado de tres universidades</w:t>
            </w:r>
          </w:p>
        </w:tc>
        <w:tc>
          <w:tcPr>
            <w:tcW w:type="dxa" w:w="7044"/>
          </w:tcPr>
          <w:p>
            <w:pPr>
              <w:spacing w:after="40"/>
            </w:pPr>
            <w:r>
              <w:rPr>
                <w:sz w:val="19"/>
              </w:rPr>
              <w:t>F07 [F07, p. 8]</w:t>
            </w:r>
          </w:p>
        </w:tc>
      </w:tr>
      <w:tr>
        <w:tc>
          <w:tcPr>
            <w:tcW w:type="dxa" w:w="2254"/>
          </w:tcPr>
          <w:p>
            <w:pPr>
              <w:spacing w:after="40"/>
            </w:pPr>
            <w:r>
              <w:rPr>
                <w:sz w:val="19"/>
              </w:rPr>
              <w:t>Propuesta o ensayo conceptual</w:t>
            </w:r>
          </w:p>
        </w:tc>
        <w:tc>
          <w:tcPr>
            <w:tcW w:type="dxa" w:w="7044"/>
          </w:tcPr>
          <w:p>
            <w:pPr>
              <w:spacing w:after="40"/>
            </w:pPr>
            <w:r>
              <w:rPr>
                <w:sz w:val="19"/>
              </w:rPr>
              <w:t>F01 [F01, p. 3]; F10 [F10, p. 20]</w:t>
            </w:r>
          </w:p>
        </w:tc>
      </w:tr>
    </w:tbl>
    <w:p>
      <w:pPr>
        <w:spacing w:after="40"/>
      </w:pPr>
    </w:p>
    <w:p>
      <w:r>
        <w:rPr>
          <w:b/>
        </w:rPr>
        <w:t>Evidencia empírica primaria escasa:</w:t>
      </w:r>
      <w:r>
        <w:t xml:space="preserve"> solo dos fuentes recogen datos propios con estudiantes (F02 y F09), y ambas usan muestras o diseños limitados. F02 mide autopercepción [F02, p. 1], y F09 declara que sus muestras son muy pequeñas y usa muestreo por conveniencia y bola de nieve [F09, pp. 2, 9].</w:t>
      </w:r>
    </w:p>
    <w:p>
      <w:pPr>
        <w:pStyle w:val="Heading2"/>
      </w:pPr>
      <w:r>
        <w:t>6. Contexto y población</w:t>
      </w:r>
    </w:p>
    <w:p>
      <w:r>
        <w:t>India, ingeniería [F01, p. 1]; Estados Unidos, contabilidad [F02, p. 8]; Reino Unido [F07, p. 2]; Hong Kong [F09, p. 2; F10, p. 18]. F04, F06 y F08 son revisiones de estudios de varios contextos.</w:t>
      </w:r>
    </w:p>
    <w:p>
      <w:r>
        <w:t>En F04 la educación superior es minoritaria y en parte corresponde a formación inicial docente [F04, p. 15].</w:t>
      </w:r>
    </w:p>
    <w:p>
      <w:r>
        <w:rPr>
          <w:b/>
        </w:rPr>
        <w:t>Evidencia ausente:</w:t>
      </w:r>
      <w:r>
        <w:t xml:space="preserve"> F01, F07 y F10 no reportan población. Ninguna fuente aporta evidencia sobre Ecuador; la única referencia ecuatoriana es el marco institucional F05.</w:t>
      </w:r>
    </w:p>
    <w:p>
      <w:pPr>
        <w:pStyle w:val="Heading2"/>
      </w:pPr>
      <w:r>
        <w:t>7. Hallazgos y aportes principales</w:t>
      </w:r>
    </w:p>
    <w:p>
      <w:pPr>
        <w:pStyle w:val="ListBullet"/>
      </w:pPr>
      <w:r>
        <w:t xml:space="preserve">El SEL se asocia con mejor rendimiento académico, retención y bienestar [F08, p. 12]. Es una </w:t>
      </w:r>
      <w:r>
        <w:rPr>
          <w:b/>
        </w:rPr>
        <w:t>asociación</w:t>
      </w:r>
      <w:r>
        <w:t xml:space="preserve"> reportada por una revisión, no un efecto causal (ver §8).</w:t>
      </w:r>
    </w:p>
    <w:p>
      <w:pPr>
        <w:pStyle w:val="ListBullet"/>
      </w:pPr>
      <w:r>
        <w:t>Existen programas para promover competencias emocionales en educación superior (n = 8) y predominan los estudios relacionales (n = 14) [F06, p. 1].</w:t>
      </w:r>
    </w:p>
    <w:p>
      <w:pPr>
        <w:pStyle w:val="ListBullet"/>
      </w:pPr>
      <w:r>
        <w:t>El bienestar espiritual de estudiantes en educación holística cambia de forma significativa con el tiempo, sin interacción con género, edad ni carrera [F09, p. 2]. La fuente informa un efecto del tiempo, no su dirección.</w:t>
      </w:r>
    </w:p>
    <w:p>
      <w:pPr>
        <w:pStyle w:val="ListBullet"/>
      </w:pPr>
      <w:r>
        <w:t>El aprendizaje-servicio mejora la percepción de compromiso comunitario, la conciencia de sostenibilidad y la competencia en analítica de datos [F02, p. 1].</w:t>
      </w:r>
    </w:p>
    <w:p>
      <w:pPr>
        <w:pStyle w:val="ListBullet"/>
      </w:pPr>
      <w:r>
        <w:t>El modelo académico de la PDP favorece habilidades metacognitivas [F07, p. 9].</w:t>
      </w:r>
    </w:p>
    <w:p>
      <w:pPr>
        <w:pStyle w:val="ListBullet"/>
      </w:pPr>
      <w:r>
        <w:t xml:space="preserve">Se señala un </w:t>
      </w:r>
      <w:r>
        <w:rPr>
          <w:b/>
        </w:rPr>
        <w:t>vacío de investigación</w:t>
      </w:r>
      <w:r>
        <w:t xml:space="preserve"> en educación superior frente a la educación escolar [F04, p. 15].</w:t>
      </w:r>
    </w:p>
    <w:p>
      <w:pPr>
        <w:pStyle w:val="ListBullet"/>
      </w:pPr>
      <w:r>
        <w:t>Hay propuestas de evaluación del desarrollo integral mediante indicadores y rúbricas [F01, p. 9], aunque sin datos de aplicación (ver §8).</w:t>
      </w:r>
    </w:p>
    <w:p>
      <w:pPr>
        <w:pStyle w:val="ListBullet"/>
      </w:pPr>
      <w:r>
        <w:t>Falta articular la educación integral con las tradiciones Este-Oeste y la filosofía [F10, p. 20].</w:t>
      </w:r>
    </w:p>
    <w:p>
      <w:pPr>
        <w:pStyle w:val="Heading2"/>
      </w:pPr>
      <w:r>
        <w:t>8. Evidencia contradictoria o débil</w:t>
      </w:r>
    </w:p>
    <w:tbl>
      <w:tblPr>
        <w:tblStyle w:val="TableGrid"/>
        <w:tblW w:type="auto" w:w="0"/>
        <w:tblLook w:firstColumn="1" w:firstRow="1" w:lastColumn="0" w:lastRow="0" w:noHBand="0" w:noVBand="1" w:val="04A0"/>
      </w:tblPr>
      <w:tblGrid>
        <w:gridCol w:w="4649"/>
        <w:gridCol w:w="4649"/>
      </w:tblGrid>
      <w:tr>
        <w:tc>
          <w:tcPr>
            <w:tcW w:type="dxa" w:w="506"/>
            <w:shd w:val="clear" w:color="auto" w:fill="1F4E79"/>
          </w:tcPr>
          <w:p>
            <w:pPr>
              <w:spacing w:after="40"/>
            </w:pPr>
            <w:r>
              <w:rPr>
                <w:b/>
                <w:color w:val="FFFFFF"/>
                <w:sz w:val="19"/>
              </w:rPr>
              <w:t>Fuente</w:t>
            </w:r>
          </w:p>
        </w:tc>
        <w:tc>
          <w:tcPr>
            <w:tcW w:type="dxa" w:w="8791"/>
            <w:shd w:val="clear" w:color="auto" w:fill="1F4E79"/>
          </w:tcPr>
          <w:p>
            <w:pPr>
              <w:spacing w:after="40"/>
            </w:pPr>
            <w:r>
              <w:rPr>
                <w:b/>
                <w:color w:val="FFFFFF"/>
                <w:sz w:val="19"/>
              </w:rPr>
              <w:t>Problema</w:t>
            </w:r>
          </w:p>
        </w:tc>
      </w:tr>
      <w:tr>
        <w:tc>
          <w:tcPr>
            <w:tcW w:type="dxa" w:w="506"/>
          </w:tcPr>
          <w:p>
            <w:pPr>
              <w:spacing w:after="40"/>
            </w:pPr>
            <w:r>
              <w:rPr>
                <w:sz w:val="19"/>
              </w:rPr>
              <w:t>F01</w:t>
            </w:r>
          </w:p>
        </w:tc>
        <w:tc>
          <w:tcPr>
            <w:tcW w:type="dxa" w:w="8791"/>
          </w:tcPr>
          <w:p>
            <w:pPr>
              <w:spacing w:after="40"/>
            </w:pPr>
            <w:r>
              <w:rPr>
                <w:sz w:val="19"/>
              </w:rPr>
              <w:t>Afirma que el marco fue «devised and used» [F01, p. 1], pero no presenta resultados de su aplicación; la afirmación de que evalúa con precisión [F01, p. 9] carece de datos.</w:t>
            </w:r>
          </w:p>
        </w:tc>
      </w:tr>
      <w:tr>
        <w:tc>
          <w:tcPr>
            <w:tcW w:type="dxa" w:w="506"/>
          </w:tcPr>
          <w:p>
            <w:pPr>
              <w:spacing w:after="40"/>
            </w:pPr>
            <w:r>
              <w:rPr>
                <w:sz w:val="19"/>
              </w:rPr>
              <w:t>F04</w:t>
            </w:r>
          </w:p>
        </w:tc>
        <w:tc>
          <w:tcPr>
            <w:tcW w:type="dxa" w:w="8791"/>
          </w:tcPr>
          <w:p>
            <w:pPr>
              <w:spacing w:after="40"/>
            </w:pPr>
            <w:r>
              <w:rPr>
                <w:sz w:val="19"/>
              </w:rPr>
              <w:t>La lista de estudios de educación superior del texto [F04, p. 15] no coincide con la codificación de sus tablas (pp. 7–10).</w:t>
            </w:r>
          </w:p>
        </w:tc>
      </w:tr>
      <w:tr>
        <w:tc>
          <w:tcPr>
            <w:tcW w:type="dxa" w:w="506"/>
          </w:tcPr>
          <w:p>
            <w:pPr>
              <w:spacing w:after="40"/>
            </w:pPr>
            <w:r>
              <w:rPr>
                <w:sz w:val="19"/>
              </w:rPr>
              <w:t>F06</w:t>
            </w:r>
          </w:p>
        </w:tc>
        <w:tc>
          <w:tcPr>
            <w:tcW w:type="dxa" w:w="8791"/>
          </w:tcPr>
          <w:p>
            <w:pPr>
              <w:spacing w:after="40"/>
            </w:pPr>
            <w:r>
              <w:rPr>
                <w:sz w:val="19"/>
              </w:rPr>
              <w:t>El resumen indica 26 artículos [F06, p. 1] y el diagrama PRISMA, 27 (p. 8).</w:t>
            </w:r>
          </w:p>
        </w:tc>
      </w:tr>
      <w:tr>
        <w:tc>
          <w:tcPr>
            <w:tcW w:type="dxa" w:w="506"/>
          </w:tcPr>
          <w:p>
            <w:pPr>
              <w:spacing w:after="40"/>
            </w:pPr>
            <w:r>
              <w:rPr>
                <w:sz w:val="19"/>
              </w:rPr>
              <w:t>F08</w:t>
            </w:r>
          </w:p>
        </w:tc>
        <w:tc>
          <w:tcPr>
            <w:tcW w:type="dxa" w:w="8791"/>
          </w:tcPr>
          <w:p>
            <w:pPr>
              <w:spacing w:after="40"/>
            </w:pPr>
            <w:r>
              <w:rPr>
                <w:sz w:val="19"/>
              </w:rPr>
              <w:t>El resumen usa lenguaje causal («contribute significantly», p. 1), pero los resultados son correlacionales [F08, p. 12] y están redactados como datos propios, aunque se trata de una revisión.</w:t>
            </w:r>
          </w:p>
        </w:tc>
      </w:tr>
      <w:tr>
        <w:tc>
          <w:tcPr>
            <w:tcW w:type="dxa" w:w="506"/>
          </w:tcPr>
          <w:p>
            <w:pPr>
              <w:spacing w:after="40"/>
            </w:pPr>
            <w:r>
              <w:rPr>
                <w:sz w:val="19"/>
              </w:rPr>
              <w:t>F09</w:t>
            </w:r>
          </w:p>
        </w:tc>
        <w:tc>
          <w:tcPr>
            <w:tcW w:type="dxa" w:w="8791"/>
          </w:tcPr>
          <w:p>
            <w:pPr>
              <w:spacing w:after="40"/>
            </w:pPr>
            <w:r>
              <w:rPr>
                <w:sz w:val="19"/>
              </w:rPr>
              <w:t>El marco tiene cuatro dominios [F09, p. 5] y el resumen habla de tres [F09, p. 2].</w:t>
            </w:r>
          </w:p>
        </w:tc>
      </w:tr>
      <w:tr>
        <w:tc>
          <w:tcPr>
            <w:tcW w:type="dxa" w:w="506"/>
          </w:tcPr>
          <w:p>
            <w:pPr>
              <w:spacing w:after="40"/>
            </w:pPr>
            <w:r>
              <w:rPr>
                <w:sz w:val="19"/>
              </w:rPr>
              <w:t>F05 (marco)</w:t>
            </w:r>
          </w:p>
        </w:tc>
        <w:tc>
          <w:tcPr>
            <w:tcW w:type="dxa" w:w="8791"/>
          </w:tcPr>
          <w:p>
            <w:pPr>
              <w:spacing w:after="40"/>
            </w:pPr>
            <w:r>
              <w:rPr>
                <w:sz w:val="19"/>
              </w:rPr>
              <w:t>Variación en la denominación de los niveles: «cuerpo, alma y espíritu» (p. 13) frente a «físico, psicológico y espiritual» [F05, p. 14].</w:t>
            </w:r>
          </w:p>
        </w:tc>
      </w:tr>
    </w:tbl>
    <w:p>
      <w:pPr>
        <w:spacing w:after="40"/>
      </w:pPr>
    </w:p>
    <w:p>
      <w:pPr>
        <w:pStyle w:val="Heading2"/>
      </w:pPr>
      <w:r>
        <w:t>9. Conclusión provisional</w:t>
      </w:r>
    </w:p>
    <w:p>
      <w:r>
        <w:t>En la literatura revisada, la competencia no se aborda con su denominación institucional, sino a través de constructos afines: educación integral, SEL, competencias emocionales, planificación del desarrollo personal y bienestar espiritual [§1].</w:t>
      </w:r>
    </w:p>
    <w:p>
      <w:r>
        <w:t>Predominan:</w:t>
      </w:r>
    </w:p>
    <w:p>
      <w:pPr>
        <w:pStyle w:val="ListBullet"/>
      </w:pPr>
      <w:r>
        <w:t xml:space="preserve">los </w:t>
      </w:r>
      <w:r>
        <w:rPr>
          <w:b/>
        </w:rPr>
        <w:t>marcos psicológicos por competencias</w:t>
      </w:r>
      <w:r>
        <w:t xml:space="preserve"> [F04, p. 17; F06, p. 6; F08, p. 5];</w:t>
      </w:r>
    </w:p>
    <w:p>
      <w:pPr>
        <w:pStyle w:val="ListBullet"/>
      </w:pPr>
      <w:r>
        <w:t xml:space="preserve">los </w:t>
      </w:r>
      <w:r>
        <w:rPr>
          <w:b/>
        </w:rPr>
        <w:t>enfoques experienciales y co-curriculares</w:t>
      </w:r>
      <w:r>
        <w:t xml:space="preserve"> [F02, p. 1; F08, p. 1; F09, p. 2; F10, p. 18];</w:t>
      </w:r>
    </w:p>
    <w:p>
      <w:pPr>
        <w:pStyle w:val="ListBullet"/>
      </w:pPr>
      <w:r>
        <w:t xml:space="preserve">las </w:t>
      </w:r>
      <w:r>
        <w:rPr>
          <w:b/>
        </w:rPr>
        <w:t>revisiones y propuestas conceptuales</w:t>
      </w:r>
      <w:r>
        <w:t xml:space="preserve"> sobre los estudios empíricos [§5].</w:t>
      </w:r>
    </w:p>
    <w:p>
      <w:r>
        <w:t>Frente al marco UTPL [F05, pp. 14, 45], la literatura cubre sobre todo el nivel psicológico y los ámbitos personal y social. Las dimensiones espiritual-trascendental y cósmica solo aparecen con fuerza en F09 [F09, p. 5].</w:t>
      </w:r>
    </w:p>
    <w:p>
      <w:r>
        <w:t xml:space="preserve">Con 8 fuentes elegidas por las personas investigadoras, esta síntesis </w:t>
      </w:r>
      <w:r>
        <w:rPr>
          <w:b/>
        </w:rPr>
        <w:t>no es exhaustiva</w:t>
      </w:r>
      <w:r>
        <w:t xml:space="preserve"> ni sustituye una búsqueda sistemática.</w:t>
      </w:r>
    </w:p>
    <w:p>
      <w:pPr>
        <w:pStyle w:val="Heading2"/>
      </w:pPr>
      <w:r>
        <w:t>Prueba de rastreo (filas elegidas al azar, semilla 20261005)</w:t>
      </w:r>
    </w:p>
    <w:tbl>
      <w:tblPr>
        <w:tblStyle w:val="TableGrid"/>
        <w:tblW w:type="auto" w:w="0"/>
        <w:tblLook w:firstColumn="1" w:firstRow="1" w:lastColumn="0" w:lastRow="0" w:noHBand="0" w:noVBand="1" w:val="04A0"/>
      </w:tblPr>
      <w:tblGrid>
        <w:gridCol w:w="3099"/>
        <w:gridCol w:w="3099"/>
        <w:gridCol w:w="3099"/>
      </w:tblGrid>
      <w:tr>
        <w:tc>
          <w:tcPr>
            <w:tcW w:type="dxa" w:w="6319"/>
            <w:shd w:val="clear" w:color="auto" w:fill="1F4E79"/>
          </w:tcPr>
          <w:p>
            <w:pPr>
              <w:spacing w:after="40"/>
            </w:pPr>
            <w:r>
              <w:rPr>
                <w:b/>
                <w:color w:val="FFFFFF"/>
                <w:sz w:val="19"/>
              </w:rPr>
              <w:t>Afirmación de la síntesis</w:t>
            </w:r>
          </w:p>
        </w:tc>
        <w:tc>
          <w:tcPr>
            <w:tcW w:type="dxa" w:w="1625"/>
            <w:shd w:val="clear" w:color="auto" w:fill="1F4E79"/>
          </w:tcPr>
          <w:p>
            <w:pPr>
              <w:spacing w:after="40"/>
            </w:pPr>
            <w:r>
              <w:rPr>
                <w:b/>
                <w:color w:val="FFFFFF"/>
                <w:sz w:val="19"/>
              </w:rPr>
              <w:t>Fila de la etapa 4</w:t>
            </w:r>
          </w:p>
        </w:tc>
        <w:tc>
          <w:tcPr>
            <w:tcW w:type="dxa" w:w="1354"/>
            <w:shd w:val="clear" w:color="auto" w:fill="1F4E79"/>
          </w:tcPr>
          <w:p>
            <w:pPr>
              <w:spacing w:after="40"/>
            </w:pPr>
            <w:r>
              <w:rPr>
                <w:b/>
                <w:color w:val="FFFFFF"/>
                <w:sz w:val="19"/>
              </w:rPr>
              <w:t>Dónde verificar</w:t>
            </w:r>
          </w:p>
        </w:tc>
      </w:tr>
      <w:tr>
        <w:tc>
          <w:tcPr>
            <w:tcW w:type="dxa" w:w="6319"/>
          </w:tcPr>
          <w:p>
            <w:pPr>
              <w:spacing w:after="40"/>
            </w:pPr>
            <w:r>
              <w:rPr>
                <w:sz w:val="19"/>
              </w:rPr>
              <w:t>El docente es actor central en la implementación del SEL (§4)</w:t>
            </w:r>
          </w:p>
        </w:tc>
        <w:tc>
          <w:tcPr>
            <w:tcW w:type="dxa" w:w="1625"/>
          </w:tcPr>
          <w:p>
            <w:pPr>
              <w:spacing w:after="40"/>
            </w:pPr>
            <w:r>
              <w:rPr>
                <w:sz w:val="19"/>
              </w:rPr>
              <w:t>F04 · 4 enfoque</w:t>
            </w:r>
          </w:p>
        </w:tc>
        <w:tc>
          <w:tcPr>
            <w:tcW w:type="dxa" w:w="1354"/>
          </w:tcPr>
          <w:p>
            <w:pPr>
              <w:spacing w:after="40"/>
            </w:pPr>
            <w:r>
              <w:rPr>
                <w:sz w:val="19"/>
              </w:rPr>
              <w:t>PDF F04, p. 21</w:t>
            </w:r>
          </w:p>
        </w:tc>
      </w:tr>
      <w:tr>
        <w:tc>
          <w:tcPr>
            <w:tcW w:type="dxa" w:w="6319"/>
          </w:tcPr>
          <w:p>
            <w:pPr>
              <w:spacing w:after="40"/>
            </w:pPr>
            <w:r>
              <w:rPr>
                <w:sz w:val="19"/>
              </w:rPr>
              <w:t>El modelo académico de la PDP favorece habilidades metacognitivas (§7)</w:t>
            </w:r>
          </w:p>
        </w:tc>
        <w:tc>
          <w:tcPr>
            <w:tcW w:type="dxa" w:w="1625"/>
          </w:tcPr>
          <w:p>
            <w:pPr>
              <w:spacing w:after="40"/>
            </w:pPr>
            <w:r>
              <w:rPr>
                <w:sz w:val="19"/>
              </w:rPr>
              <w:t>F07 · 7 hallazgos</w:t>
            </w:r>
          </w:p>
        </w:tc>
        <w:tc>
          <w:tcPr>
            <w:tcW w:type="dxa" w:w="1354"/>
          </w:tcPr>
          <w:p>
            <w:pPr>
              <w:spacing w:after="40"/>
            </w:pPr>
            <w:r>
              <w:rPr>
                <w:sz w:val="19"/>
              </w:rPr>
              <w:t>PDF F07, p. 9</w:t>
            </w:r>
          </w:p>
        </w:tc>
      </w:tr>
      <w:tr>
        <w:tc>
          <w:tcPr>
            <w:tcW w:type="dxa" w:w="6319"/>
          </w:tcPr>
          <w:p>
            <w:pPr>
              <w:spacing w:after="40"/>
            </w:pPr>
            <w:r>
              <w:rPr>
                <w:sz w:val="19"/>
              </w:rPr>
              <w:t>F04 es una revisión PRISMA de 46 estudios, 2000–2025 (§5)</w:t>
            </w:r>
          </w:p>
        </w:tc>
        <w:tc>
          <w:tcPr>
            <w:tcW w:type="dxa" w:w="1625"/>
          </w:tcPr>
          <w:p>
            <w:pPr>
              <w:spacing w:after="40"/>
            </w:pPr>
            <w:r>
              <w:rPr>
                <w:sz w:val="19"/>
              </w:rPr>
              <w:t>F04 · 5 diseño</w:t>
            </w:r>
          </w:p>
        </w:tc>
        <w:tc>
          <w:tcPr>
            <w:tcW w:type="dxa" w:w="1354"/>
          </w:tcPr>
          <w:p>
            <w:pPr>
              <w:spacing w:after="40"/>
            </w:pPr>
            <w:r>
              <w:rPr>
                <w:sz w:val="19"/>
              </w:rPr>
              <w:t>PDF F04, p. 1</w:t>
            </w:r>
          </w:p>
        </w:tc>
      </w:tr>
    </w:tbl>
    <w:p>
      <w:pPr>
        <w:spacing w:after="40"/>
      </w:pPr>
    </w:p>
    <w:p>
      <w:pPr>
        <w:pStyle w:val="Heading1"/>
      </w:pPr>
      <w:r>
        <w:t>Referencias</w:t>
      </w:r>
    </w:p>
    <w:p>
      <w:pPr>
        <w:pStyle w:val="Heading2"/>
      </w:pPr>
      <w:r>
        <w:t>Fuentes de la síntesis</w:t>
      </w:r>
    </w:p>
    <w:p>
      <w:pPr>
        <w:pStyle w:val="ListBullet"/>
      </w:pPr>
      <w:r>
        <w:rPr>
          <w:b/>
        </w:rPr>
        <w:t>[F01]</w:t>
      </w:r>
      <w:r>
        <w:t xml:space="preserve"> Brindha, V. E., &amp; Christalin Latha, C. B. (2024). A Novel 360° Framework for Developing a Graduate as a Whole Person by Enhancing the Affective Domain Skills. Journal of Engineering Education Transformations, 38(2), 144–154. https://doi.org/10.16920/jeet/2024/v38i2/24197</w:t>
      </w:r>
    </w:p>
    <w:p>
      <w:pPr>
        <w:pStyle w:val="ListBullet"/>
      </w:pPr>
      <w:r>
        <w:rPr>
          <w:b/>
        </w:rPr>
        <w:t>[F02]</w:t>
      </w:r>
      <w:r>
        <w:t xml:space="preserve"> Lee, W. E., &amp; Perdana, A. (2023). Effects of experiential service learning in improving community engagement perception, sustainability awareness, and data analytics competency. Journal of Accounting Education, 62, 100830. https://doi.org/10.1016/j.jaccedu.2023.100830</w:t>
      </w:r>
    </w:p>
    <w:p>
      <w:pPr>
        <w:pStyle w:val="ListBullet"/>
      </w:pPr>
      <w:r>
        <w:rPr>
          <w:b/>
        </w:rPr>
        <w:t>[F04]</w:t>
      </w:r>
      <w:r>
        <w:t xml:space="preserve"> Nanda, S. B., Satapathy, D., Panda, G., &amp; Pradhan, D. K. (2025). Socio-emotional learning and competencies in 21st-century education: a systematic review of teacher and student perspectives. Discover Education, 4, 338. https://doi.org/10.1007/s44217-025-00796-w</w:t>
      </w:r>
    </w:p>
    <w:p>
      <w:pPr>
        <w:pStyle w:val="ListBullet"/>
      </w:pPr>
      <w:r>
        <w:rPr>
          <w:b/>
        </w:rPr>
        <w:t>[F06]</w:t>
      </w:r>
      <w:r>
        <w:t xml:space="preserve"> Lagos, N., Anabalón, Y., Concha, M., &amp; López-López, C. (2025). Competencias emocionales en educación superior: una revisión sistemática. Revista Digital de Investigación en Docencia Universitaria, 19(1), e1828. https://doi.org/10.19083/ridu.2025.1828</w:t>
      </w:r>
    </w:p>
    <w:p>
      <w:pPr>
        <w:pStyle w:val="ListBullet"/>
      </w:pPr>
      <w:r>
        <w:rPr>
          <w:b/>
        </w:rPr>
        <w:t>[F07]</w:t>
      </w:r>
      <w:r>
        <w:t xml:space="preserve"> Shaposhnikova, N. Yu. (2020). Personal Development Planning of the UK Students: Implementation Models [Планирование индивидуального развития студентов Великобритании: модели реализации]. Vysshee obrazovanie v Rossii = Higher Education in Russia, 29(4), 146–154. https://doi.org/10.31992/0869-3617-2020-29-4-146-154</w:t>
      </w:r>
    </w:p>
    <w:p>
      <w:pPr>
        <w:pStyle w:val="ListBullet"/>
      </w:pPr>
      <w:r>
        <w:rPr>
          <w:b/>
        </w:rPr>
        <w:t>[F08]</w:t>
      </w:r>
      <w:r>
        <w:t xml:space="preserve"> Wang, D., &amp; Ishak, Z. (2025). Unveiling the Implementation of Social-Emotional Learning among College Students: A Systematic Literature Review. International Journal of Learning, Teaching and Educational Research, 24(5), 376–399. https://doi.org/10.26803/ijlter.24.5.20</w:t>
      </w:r>
    </w:p>
    <w:p>
      <w:pPr>
        <w:pStyle w:val="ListBullet"/>
      </w:pPr>
      <w:r>
        <w:rPr>
          <w:b/>
        </w:rPr>
        <w:t>[F09]</w:t>
      </w:r>
      <w:r>
        <w:t xml:space="preserve"> Pong, H.-K. (2021). The cultivation of university students' spiritual wellbeing in holistic education: longitudinal mixed-methods study. International Journal of Children's Spirituality. Publicado en línea el 15 mar 2021. https://doi.org/10.1080/1364436X.2021.1898344</w:t>
      </w:r>
    </w:p>
    <w:p>
      <w:pPr>
        <w:pStyle w:val="ListBullet"/>
      </w:pPr>
      <w:r>
        <w:rPr>
          <w:b/>
        </w:rPr>
        <w:t>[F10]</w:t>
      </w:r>
      <w:r>
        <w:t xml:space="preserve"> Chan, B. S. B., &amp; Chan, V. C. M. (2022). Introduction: East and West perspectives on whole person education. En B. S. B. Chan &amp; V. C. M. Chan (Eds.), Whole Person Education in East Asian Universities: Perspectives from Philosophy and Beyond (pp. 1–10). Routledge. ISBN 978-1-003-13725-2 (ebk); 978-0-367-68378-8 (hbk)</w:t>
      </w:r>
    </w:p>
    <w:p>
      <w:pPr>
        <w:pStyle w:val="Heading2"/>
      </w:pPr>
      <w:r>
        <w:t>Marco de referencia institucional</w:t>
      </w:r>
    </w:p>
    <w:p>
      <w:pPr>
        <w:pStyle w:val="ListBullet"/>
      </w:pPr>
      <w:r>
        <w:rPr>
          <w:b/>
        </w:rPr>
        <w:t>[F05]</w:t>
      </w:r>
      <w:r>
        <w:t xml:space="preserve"> Díaz de la Cruz, C., &amp; Acosta Aide, S. (2026, febrero). Modelo educativo y pedagógico de la Universidad Técnica Particular de Loja (UTPL). Resolución N.º VAC_RR_4_V1_2026. UTPL / Ediloja. ISBN físico 978-9942-26-386-5; ISBN digital 978-9942-47-616-6. https://procuraduria.utpl.edu.ec/sitios/documentos/NormativasPublicas/Resoluci%C3%B3n%20Rectoral%20Modelo%20Educativo%20y%20Pedag%C3%B3gico%20de%20la%20UTPL_V1.pdf</w:t>
      </w:r>
    </w:p>
    <w:p>
      <w:pPr>
        <w:pStyle w:val="Heading2"/>
      </w:pPr>
      <w:r>
        <w:t>Fuente considerada y excluida</w:t>
      </w:r>
    </w:p>
    <w:p>
      <w:pPr>
        <w:pStyle w:val="ListBullet"/>
      </w:pPr>
      <w:r>
        <w:rPr>
          <w:b/>
        </w:rPr>
        <w:t>[F03]</w:t>
      </w:r>
      <w:r>
        <w:t xml:space="preserve"> Hou, S.-I., &amp; Wilder, S. (2015). How Ready Is Higher Education Faculty for Engaged Student Learning? Applying Transtheoretical Model to Measure Service-Learning Beliefs and Adoption. SAGE Open, enero–marzo 2015, 1–9. https://doi.org/10.1177/2158244015572282 Excluida en la etapa 3: población solo docente; 3/8 en la rúbrica; decisión de los revisores (opción A).</w:t>
      </w:r>
    </w:p>
    <w:p>
      <w:pPr>
        <w:pStyle w:val="Heading1"/>
      </w:pPr>
      <w:r>
        <w:t>Anexo · Método y trazabilidad</w:t>
      </w:r>
    </w:p>
    <w:tbl>
      <w:tblPr>
        <w:tblStyle w:val="TableGrid"/>
        <w:tblW w:type="auto" w:w="0"/>
        <w:tblLook w:firstColumn="1" w:firstRow="1" w:lastColumn="0" w:lastRow="0" w:noHBand="0" w:noVBand="1" w:val="04A0"/>
      </w:tblPr>
      <w:tblGrid>
        <w:gridCol w:w="3099"/>
        <w:gridCol w:w="3099"/>
        <w:gridCol w:w="3099"/>
      </w:tblGrid>
      <w:tr>
        <w:tc>
          <w:tcPr>
            <w:tcW w:type="dxa" w:w="435"/>
            <w:shd w:val="clear" w:color="auto" w:fill="1F4E79"/>
          </w:tcPr>
          <w:p>
            <w:pPr>
              <w:spacing w:after="40"/>
            </w:pPr>
            <w:r>
              <w:rPr>
                <w:b/>
                <w:color w:val="FFFFFF"/>
                <w:sz w:val="19"/>
              </w:rPr>
              <w:t>Etapa</w:t>
            </w:r>
          </w:p>
        </w:tc>
        <w:tc>
          <w:tcPr>
            <w:tcW w:type="dxa" w:w="6087"/>
            <w:shd w:val="clear" w:color="auto" w:fill="1F4E79"/>
          </w:tcPr>
          <w:p>
            <w:pPr>
              <w:spacing w:after="40"/>
            </w:pPr>
            <w:r>
              <w:rPr>
                <w:b/>
                <w:color w:val="FFFFFF"/>
                <w:sz w:val="19"/>
              </w:rPr>
              <w:t>Qué se hizo</w:t>
            </w:r>
          </w:p>
        </w:tc>
        <w:tc>
          <w:tcPr>
            <w:tcW w:type="dxa" w:w="2776"/>
            <w:shd w:val="clear" w:color="auto" w:fill="1F4E79"/>
          </w:tcPr>
          <w:p>
            <w:pPr>
              <w:spacing w:after="40"/>
            </w:pPr>
            <w:r>
              <w:rPr>
                <w:b/>
                <w:color w:val="FFFFFF"/>
                <w:sz w:val="19"/>
              </w:rPr>
              <w:t>Resultado</w:t>
            </w:r>
          </w:p>
        </w:tc>
      </w:tr>
      <w:tr>
        <w:tc>
          <w:tcPr>
            <w:tcW w:type="dxa" w:w="435"/>
          </w:tcPr>
          <w:p>
            <w:pPr>
              <w:spacing w:after="40"/>
            </w:pPr>
            <w:r>
              <w:rPr>
                <w:sz w:val="19"/>
              </w:rPr>
              <w:t>1 Incorporar</w:t>
            </w:r>
          </w:p>
        </w:tc>
        <w:tc>
          <w:tcPr>
            <w:tcW w:type="dxa" w:w="6087"/>
          </w:tcPr>
          <w:p>
            <w:pPr>
              <w:spacing w:after="40"/>
            </w:pPr>
            <w:r>
              <w:rPr>
                <w:sz w:val="19"/>
              </w:rPr>
              <w:t>Registro de las fuentes elegidas por la titular, con identificador estable; se descartaron 4 archivos duplicados</w:t>
            </w:r>
          </w:p>
        </w:tc>
        <w:tc>
          <w:tcPr>
            <w:tcW w:type="dxa" w:w="2776"/>
          </w:tcPr>
          <w:p>
            <w:pPr>
              <w:spacing w:after="40"/>
            </w:pPr>
            <w:r>
              <w:rPr>
                <w:sz w:val="19"/>
              </w:rPr>
              <w:t>10 fuentes (F01–F10)</w:t>
            </w:r>
          </w:p>
        </w:tc>
      </w:tr>
      <w:tr>
        <w:tc>
          <w:tcPr>
            <w:tcW w:type="dxa" w:w="435"/>
          </w:tcPr>
          <w:p>
            <w:pPr>
              <w:spacing w:after="40"/>
            </w:pPr>
            <w:r>
              <w:rPr>
                <w:sz w:val="19"/>
              </w:rPr>
              <w:t>2 Verificar</w:t>
            </w:r>
          </w:p>
        </w:tc>
        <w:tc>
          <w:tcPr>
            <w:tcW w:type="dxa" w:w="6087"/>
          </w:tcPr>
          <w:p>
            <w:pPr>
              <w:spacing w:after="40"/>
            </w:pPr>
            <w:r>
              <w:rPr>
                <w:sz w:val="19"/>
              </w:rPr>
              <w:t>Comprobación de DOI, ISBN o enlace y de la coherencia de cada cita; F05 se comparó con la versión del servidor institucional (texto idéntico; se añadieron los ISBN)</w:t>
            </w:r>
          </w:p>
        </w:tc>
        <w:tc>
          <w:tcPr>
            <w:tcW w:type="dxa" w:w="2776"/>
          </w:tcPr>
          <w:p>
            <w:pPr>
              <w:spacing w:after="40"/>
            </w:pPr>
            <w:r>
              <w:rPr>
                <w:sz w:val="19"/>
              </w:rPr>
              <w:t>10 de 10 aprobadas por ambos revisores</w:t>
            </w:r>
          </w:p>
        </w:tc>
      </w:tr>
      <w:tr>
        <w:tc>
          <w:tcPr>
            <w:tcW w:type="dxa" w:w="435"/>
          </w:tcPr>
          <w:p>
            <w:pPr>
              <w:spacing w:after="40"/>
            </w:pPr>
            <w:r>
              <w:rPr>
                <w:sz w:val="19"/>
              </w:rPr>
              <w:t>3 Pertinencia</w:t>
            </w:r>
          </w:p>
        </w:tc>
        <w:tc>
          <w:tcPr>
            <w:tcW w:type="dxa" w:w="6087"/>
          </w:tcPr>
          <w:p>
            <w:pPr>
              <w:spacing w:after="40"/>
            </w:pPr>
            <w:r>
              <w:rPr>
                <w:sz w:val="19"/>
              </w:rPr>
              <w:t>Rúbrica C1–C4 (0–2) puntuada por separado por cada revisor</w:t>
            </w:r>
          </w:p>
        </w:tc>
        <w:tc>
          <w:tcPr>
            <w:tcW w:type="dxa" w:w="2776"/>
          </w:tcPr>
          <w:p>
            <w:pPr>
              <w:spacing w:after="40"/>
            </w:pPr>
            <w:r>
              <w:rPr>
                <w:sz w:val="19"/>
              </w:rPr>
              <w:t xml:space="preserve">Acuerdo 89 %; </w:t>
            </w:r>
            <w:r>
              <w:rPr>
                <w:b/>
                <w:sz w:val="19"/>
              </w:rPr>
              <w:t>kappa de Cohen 0,70</w:t>
            </w:r>
            <w:r>
              <w:rPr>
                <w:sz w:val="19"/>
              </w:rPr>
              <w:t xml:space="preserve"> antes del consenso; F02 resuelta por consenso</w:t>
            </w:r>
          </w:p>
        </w:tc>
      </w:tr>
      <w:tr>
        <w:tc>
          <w:tcPr>
            <w:tcW w:type="dxa" w:w="435"/>
          </w:tcPr>
          <w:p>
            <w:pPr>
              <w:spacing w:after="40"/>
            </w:pPr>
            <w:r>
              <w:rPr>
                <w:sz w:val="19"/>
              </w:rPr>
              <w:t>4 Extraer</w:t>
            </w:r>
          </w:p>
        </w:tc>
        <w:tc>
          <w:tcPr>
            <w:tcW w:type="dxa" w:w="6087"/>
          </w:tcPr>
          <w:p>
            <w:pPr>
              <w:spacing w:after="40"/>
            </w:pPr>
            <w:r>
              <w:rPr>
                <w:sz w:val="19"/>
              </w:rPr>
              <w:t>7 campos por fuente, con pasaje literal y página; datos ausentes marcados; 17 vacíos o contradicciones</w:t>
            </w:r>
          </w:p>
        </w:tc>
        <w:tc>
          <w:tcPr>
            <w:tcW w:type="dxa" w:w="2776"/>
          </w:tcPr>
          <w:p>
            <w:pPr>
              <w:spacing w:after="40"/>
            </w:pPr>
            <w:r>
              <w:rPr>
                <w:sz w:val="19"/>
              </w:rPr>
              <w:t>63 de 63 filas aprobadas por ambos revisores</w:t>
            </w:r>
          </w:p>
        </w:tc>
      </w:tr>
      <w:tr>
        <w:tc>
          <w:tcPr>
            <w:tcW w:type="dxa" w:w="435"/>
          </w:tcPr>
          <w:p>
            <w:pPr>
              <w:spacing w:after="40"/>
            </w:pPr>
            <w:r>
              <w:rPr>
                <w:sz w:val="19"/>
              </w:rPr>
              <w:t>5 Sintetizar</w:t>
            </w:r>
          </w:p>
        </w:tc>
        <w:tc>
          <w:tcPr>
            <w:tcW w:type="dxa" w:w="6087"/>
          </w:tcPr>
          <w:p>
            <w:pPr>
              <w:spacing w:after="40"/>
            </w:pPr>
            <w:r>
              <w:rPr>
                <w:sz w:val="19"/>
              </w:rPr>
              <w:t>Solo filas aprobadas; 77 citas verificadas automáticamente; rastreo de 3 afirmaciones al azar (semilla 20261005); en v1.1 se corrigió una afirmación sobre F09 detectada al rastrearla</w:t>
            </w:r>
          </w:p>
        </w:tc>
        <w:tc>
          <w:tcPr>
            <w:tcW w:type="dxa" w:w="2776"/>
          </w:tcPr>
          <w:p>
            <w:pPr>
              <w:spacing w:after="40"/>
            </w:pPr>
            <w:r>
              <w:rPr>
                <w:sz w:val="19"/>
              </w:rPr>
              <w:t>v1 y v1.1 aprobadas por ambos revisores</w:t>
            </w:r>
          </w:p>
        </w:tc>
      </w:tr>
    </w:tbl>
    <w:p>
      <w:pPr>
        <w:spacing w:after="40"/>
      </w:pPr>
    </w:p>
    <w:p>
      <w:r>
        <w:rPr>
          <w:b/>
        </w:rPr>
        <w:t>Restricciones del proceso:</w:t>
      </w:r>
      <w:r>
        <w:t xml:space="preserve"> no se enviaron mensajes ni se modificaron los archivos originales ni sistemas externos. La única descarga (versión del servidor de F05) fue autorizada por la titular y se guardó fuera del proyecto. Los pasajes de F07 en ruso llevan traducción del asistente, marcada como tal.</w:t>
      </w:r>
    </w:p>
    <w:p>
      <w:r>
        <w:rPr>
          <w:b/>
        </w:rPr>
        <w:t>Limitaciones:</w:t>
      </w:r>
      <w:r>
        <w:t xml:space="preserve"> 8 fuentes elegidas por las personas investigadoras; la síntesis no es exhaustiva ni sustituye una búsqueda sistemática. F10 es texto parcial (solo cap. 1). La tabla de contraste con F05 es una interpretación del asistente validada por la titular.</w:t>
      </w:r>
    </w:p>
    <w:p>
      <w:r>
        <w:rPr>
          <w:b/>
        </w:rPr>
        <w:t>Archivos del proyecto:</w:t>
      </w:r>
      <w:r>
        <w:t xml:space="preserve"> fuentes.csv · pregunta_y_criterios_v2.md · instrucciones_v2.md · etapa2_verificacion.xlsx · etapa3_pertinencia_v2.xlsx · etapa4_extraccion.xlsx · sintesis_v1.1.md · registro.md</w:t>
      </w:r>
    </w:p>
    <w:sectPr w:rsidR="00FC693F" w:rsidRPr="0006063C" w:rsidSect="00034616">
      <w:footerReference w:type="default" r:id="rId9"/>
      <w:pgSz w:w="11906" w:h="16838"/>
      <w:pgMar w:top="1247" w:right="1304" w:bottom="1247"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1F4E79"/>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1F4E79"/>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1F4E79"/>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